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99" w:rsidRPr="00600999" w:rsidRDefault="00600999" w:rsidP="00600999">
      <w:pPr>
        <w:spacing w:before="100" w:beforeAutospacing="1" w:after="100" w:afterAutospacing="1" w:line="360" w:lineRule="auto"/>
        <w:outlineLvl w:val="1"/>
        <w:rPr>
          <w:rFonts w:ascii="Helvetica Neue" w:eastAsia="Times New Roman" w:hAnsi="Helvetica Neue" w:cs="Times New Roman"/>
          <w:b/>
          <w:bCs/>
          <w:color w:val="222222"/>
          <w:sz w:val="28"/>
          <w:szCs w:val="28"/>
        </w:rPr>
      </w:pPr>
      <w:r w:rsidRPr="00600999">
        <w:rPr>
          <w:rFonts w:ascii="Helvetica Neue" w:eastAsia="Times New Roman" w:hAnsi="Helvetica Neue" w:cs="Times New Roman"/>
          <w:b/>
          <w:bCs/>
          <w:color w:val="222222"/>
          <w:sz w:val="28"/>
          <w:szCs w:val="28"/>
        </w:rPr>
        <w:t>Science Practices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1: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 xml:space="preserve"> The student can use representations and models to communicate scientific phenomena and solve scientific problems.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2: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 xml:space="preserve">The student can use mathematics </w:t>
      </w:r>
      <w:bookmarkStart w:id="0" w:name="_GoBack"/>
      <w:bookmarkEnd w:id="0"/>
      <w:r w:rsidRPr="00600999">
        <w:rPr>
          <w:rFonts w:ascii="Helvetica Neue" w:hAnsi="Helvetica Neue" w:cs="Times New Roman"/>
          <w:color w:val="222222"/>
          <w:sz w:val="22"/>
          <w:szCs w:val="22"/>
        </w:rPr>
        <w:t>appropriately.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3: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>The student can engage in scientific questioning to extend thinking or to guide investigations within the context of the AP course.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4: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>The student can plan and implement data collection strategies in relation to a particular scientific question. (Note: Data can be collected from many different sources, e.g., investigations, scientific observations, the findings of others, historic reconstruction and/or archived data.)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5: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>The student can perform data analysis and evaluation of evidence.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6: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>The student can work with scientific explanations and theories.</w:t>
      </w:r>
    </w:p>
    <w:p w:rsidR="00294EC3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7: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>The student is able to connect and relate knowledge across various scales, concepts and representations in and across domains.</w:t>
      </w:r>
    </w:p>
    <w:p w:rsidR="00600999" w:rsidRPr="00600999" w:rsidRDefault="00600999" w:rsidP="00600999">
      <w:pPr>
        <w:spacing w:before="100" w:beforeAutospacing="1" w:after="100" w:afterAutospacing="1" w:line="360" w:lineRule="auto"/>
        <w:outlineLvl w:val="1"/>
        <w:rPr>
          <w:rFonts w:ascii="Helvetica Neue" w:eastAsia="Times New Roman" w:hAnsi="Helvetica Neue" w:cs="Times New Roman"/>
          <w:b/>
          <w:bCs/>
          <w:color w:val="222222"/>
          <w:sz w:val="28"/>
          <w:szCs w:val="28"/>
        </w:rPr>
      </w:pPr>
      <w:r w:rsidRPr="00600999">
        <w:rPr>
          <w:rFonts w:ascii="Helvetica Neue" w:eastAsia="Times New Roman" w:hAnsi="Helvetica Neue" w:cs="Times New Roman"/>
          <w:b/>
          <w:bCs/>
          <w:color w:val="222222"/>
          <w:sz w:val="28"/>
          <w:szCs w:val="28"/>
        </w:rPr>
        <w:lastRenderedPageBreak/>
        <w:t>Science Practices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1: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 xml:space="preserve"> The student can use representations and models to communicate scientific phenomena and solve scientific problems.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2: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>The student can use mathematics appropriately.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3: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>The student can engage in scientific questioning to extend thinking or to guide investigations within the context of the AP course.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4: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>The student can plan and implement data collection strategies in relation to a particular scientific question. (Note: Data can be collected from many different sources, e.g., investigations, scientific observations, the findings of others, historic reconstruction and/or archived data.)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5: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>The student can perform data analysis and evaluation of evidence.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6: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>The student can work with scientific explanations and theories.</w:t>
      </w:r>
    </w:p>
    <w:p w:rsidR="00600999" w:rsidRPr="00600999" w:rsidRDefault="00600999" w:rsidP="00600999">
      <w:pPr>
        <w:spacing w:before="100" w:beforeAutospacing="1" w:after="100" w:afterAutospacing="1" w:line="360" w:lineRule="auto"/>
        <w:rPr>
          <w:rFonts w:ascii="Helvetica Neue" w:hAnsi="Helvetica Neue" w:cs="Times New Roman"/>
          <w:color w:val="222222"/>
          <w:sz w:val="22"/>
          <w:szCs w:val="22"/>
        </w:rPr>
      </w:pPr>
      <w:r w:rsidRPr="00600999">
        <w:rPr>
          <w:rFonts w:ascii="Helvetica Neue" w:hAnsi="Helvetica Neue" w:cs="Times New Roman"/>
          <w:b/>
          <w:color w:val="222222"/>
          <w:sz w:val="22"/>
          <w:szCs w:val="22"/>
        </w:rPr>
        <w:t>Science Practice 7:  </w:t>
      </w:r>
      <w:r w:rsidRPr="00600999">
        <w:rPr>
          <w:rFonts w:ascii="Helvetica Neue" w:hAnsi="Helvetica Neue" w:cs="Times New Roman"/>
          <w:color w:val="222222"/>
          <w:sz w:val="22"/>
          <w:szCs w:val="22"/>
        </w:rPr>
        <w:t>The student is able to connect and relate knowledge across various scales, concepts and representations in and across domains.</w:t>
      </w:r>
    </w:p>
    <w:sectPr w:rsidR="00600999" w:rsidRPr="00600999" w:rsidSect="0060099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9"/>
    <w:rsid w:val="002913D6"/>
    <w:rsid w:val="00294EC3"/>
    <w:rsid w:val="0060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CF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09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99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09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09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99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09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Macintosh Word</Application>
  <DocSecurity>0</DocSecurity>
  <Lines>14</Lines>
  <Paragraphs>3</Paragraphs>
  <ScaleCrop>false</ScaleCrop>
  <Company>H.P. Baldwin High School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1</cp:revision>
  <dcterms:created xsi:type="dcterms:W3CDTF">2015-07-22T16:00:00Z</dcterms:created>
  <dcterms:modified xsi:type="dcterms:W3CDTF">2015-07-22T16:03:00Z</dcterms:modified>
</cp:coreProperties>
</file>