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52" w:rsidRPr="005F121C" w:rsidRDefault="00A937A4" w:rsidP="00697C18">
      <w:pPr>
        <w:spacing w:line="240" w:lineRule="auto"/>
        <w:jc w:val="center"/>
        <w:rPr>
          <w:sz w:val="28"/>
        </w:rPr>
      </w:pPr>
      <w:bookmarkStart w:id="0" w:name="_GoBack"/>
      <w:bookmarkEnd w:id="0"/>
      <w:r w:rsidRPr="005F121C">
        <w:rPr>
          <w:sz w:val="28"/>
        </w:rPr>
        <w:t>AP Biology Standard Deviation Practice worksheet</w:t>
      </w:r>
    </w:p>
    <w:p w:rsidR="00474FDF" w:rsidRPr="00474FDF" w:rsidRDefault="00697C18" w:rsidP="00474FDF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303530</wp:posOffset>
            </wp:positionV>
            <wp:extent cx="1064895" cy="579120"/>
            <wp:effectExtent l="19050" t="0" r="1905" b="0"/>
            <wp:wrapSquare wrapText="bothSides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FDF" w:rsidRPr="00474FDF">
        <w:rPr>
          <w:rFonts w:eastAsia="Times New Roman" w:cs="Arial"/>
        </w:rPr>
        <w:t>1. The formula for the standard deviation,</w:t>
      </w:r>
      <w:r>
        <w:rPr>
          <w:rFonts w:eastAsia="Times New Roman" w:cs="Arial"/>
        </w:rPr>
        <w:t xml:space="preserve"> </w:t>
      </w:r>
      <w:r w:rsidR="00474FDF" w:rsidRPr="00474FDF">
        <w:rPr>
          <w:rFonts w:eastAsia="Times New Roman" w:cs="Arial"/>
        </w:rPr>
        <w:t>S</w:t>
      </w:r>
      <w:r w:rsidR="003D7A17">
        <w:rPr>
          <w:rFonts w:eastAsia="Times New Roman" w:cs="Arial"/>
        </w:rPr>
        <w:t>(SD)</w:t>
      </w:r>
      <w:r w:rsidR="00474FDF" w:rsidRPr="00474FDF">
        <w:rPr>
          <w:rFonts w:eastAsia="Times New Roman" w:cs="Arial"/>
        </w:rPr>
        <w:t>,</w:t>
      </w:r>
      <w:r w:rsidR="00474FDF" w:rsidRPr="005F121C">
        <w:rPr>
          <w:rFonts w:eastAsia="Times New Roman" w:cs="Arial"/>
        </w:rPr>
        <w:t xml:space="preserve"> </w:t>
      </w:r>
      <w:r w:rsidR="00474FDF" w:rsidRPr="00474FDF">
        <w:rPr>
          <w:rFonts w:eastAsia="Times New Roman" w:cs="Arial"/>
        </w:rPr>
        <w:t>is</w:t>
      </w:r>
      <w:r>
        <w:rPr>
          <w:rFonts w:eastAsia="Times New Roman" w:cs="Arial"/>
        </w:rPr>
        <w:t xml:space="preserve"> on the right</w:t>
      </w:r>
      <w:r w:rsidR="00474FDF" w:rsidRPr="00474FDF">
        <w:rPr>
          <w:rFonts w:eastAsia="Times New Roman" w:cs="Arial"/>
        </w:rPr>
        <w:t>:</w:t>
      </w:r>
      <w:r>
        <w:rPr>
          <w:rFonts w:eastAsia="Times New Roman" w:cs="Arial"/>
        </w:rPr>
        <w:t xml:space="preserve"> </w:t>
      </w:r>
      <w:r w:rsidR="00474FDF" w:rsidRPr="005F121C">
        <w:rPr>
          <w:rFonts w:eastAsia="Times New Roman" w:cs="Arial"/>
        </w:rPr>
        <w:t>Id</w:t>
      </w:r>
      <w:r w:rsidR="00474FDF" w:rsidRPr="00474FDF">
        <w:rPr>
          <w:rFonts w:eastAsia="Times New Roman" w:cs="Arial"/>
        </w:rPr>
        <w:t>entify what each of the following parts of the formula</w:t>
      </w:r>
      <w:r w:rsidR="00474FDF" w:rsidRPr="005F121C">
        <w:rPr>
          <w:rFonts w:eastAsia="Times New Roman" w:cs="Arial"/>
        </w:rPr>
        <w:t xml:space="preserve"> </w:t>
      </w:r>
      <w:r w:rsidR="00474FDF" w:rsidRPr="00474FDF">
        <w:rPr>
          <w:rFonts w:eastAsia="Times New Roman" w:cs="Arial"/>
        </w:rPr>
        <w:t xml:space="preserve">mean by explaining it in words. </w:t>
      </w:r>
    </w:p>
    <w:p w:rsidR="00474FDF" w:rsidRPr="00474FDF" w:rsidRDefault="00474FDF" w:rsidP="00697C18">
      <w:pPr>
        <w:spacing w:after="0" w:line="240" w:lineRule="auto"/>
        <w:rPr>
          <w:rFonts w:eastAsia="Times New Roman" w:cs="Arial"/>
        </w:rPr>
      </w:pPr>
      <w:r w:rsidRPr="00474FDF">
        <w:rPr>
          <w:rFonts w:eastAsia="Times New Roman" w:cs="Arial"/>
        </w:rPr>
        <w:t>(a) n</w:t>
      </w:r>
    </w:p>
    <w:p w:rsidR="00474FDF" w:rsidRPr="00474FDF" w:rsidRDefault="00474FDF" w:rsidP="00697C18">
      <w:pPr>
        <w:spacing w:after="0" w:line="240" w:lineRule="auto"/>
        <w:rPr>
          <w:rFonts w:eastAsia="Times New Roman" w:cs="Courier New"/>
        </w:rPr>
      </w:pPr>
      <w:r w:rsidRPr="00474FDF">
        <w:rPr>
          <w:rFonts w:eastAsia="Times New Roman" w:cs="Arial"/>
        </w:rPr>
        <w:t xml:space="preserve">(b) </w:t>
      </w:r>
      <w:r w:rsidRPr="00474FDF">
        <w:rPr>
          <w:rFonts w:eastAsia="Times New Roman" w:cs="Courier New"/>
        </w:rPr>
        <w:t>x</w:t>
      </w:r>
    </w:p>
    <w:p w:rsidR="00474FDF" w:rsidRPr="00474FDF" w:rsidRDefault="00474FDF" w:rsidP="00697C18">
      <w:pPr>
        <w:spacing w:after="0" w:line="240" w:lineRule="auto"/>
        <w:rPr>
          <w:rFonts w:eastAsia="Times New Roman" w:cs="Courier New"/>
        </w:rPr>
      </w:pPr>
      <w:r w:rsidRPr="00474FDF">
        <w:rPr>
          <w:rFonts w:eastAsia="Times New Roman" w:cs="Arial"/>
        </w:rPr>
        <w:t xml:space="preserve">(c) </w:t>
      </w:r>
      <w:r w:rsidRPr="00474FDF">
        <w:rPr>
          <w:rFonts w:eastAsia="Times New Roman" w:cs="Courier New"/>
        </w:rPr>
        <w:t>∑</w:t>
      </w:r>
    </w:p>
    <w:p w:rsidR="00474FDF" w:rsidRPr="005F121C" w:rsidRDefault="00474FDF" w:rsidP="00697C18">
      <w:pPr>
        <w:spacing w:after="0" w:line="240" w:lineRule="auto"/>
        <w:rPr>
          <w:rFonts w:eastAsia="Times New Roman" w:cs="Arial"/>
        </w:rPr>
      </w:pPr>
      <w:r w:rsidRPr="00474FDF">
        <w:rPr>
          <w:rFonts w:eastAsia="Times New Roman" w:cs="Arial"/>
        </w:rPr>
        <w:t>(d) A name for the quantity n –1</w:t>
      </w:r>
      <w:r w:rsidR="00697C18">
        <w:rPr>
          <w:rFonts w:eastAsia="Times New Roman" w:cs="Arial"/>
        </w:rPr>
        <w:t xml:space="preserve"> </w:t>
      </w:r>
      <w:r w:rsidRPr="00474FDF">
        <w:rPr>
          <w:rFonts w:eastAsia="Times New Roman" w:cs="Arial"/>
        </w:rPr>
        <w:t xml:space="preserve">is </w:t>
      </w:r>
    </w:p>
    <w:p w:rsidR="00474FDF" w:rsidRPr="005F121C" w:rsidRDefault="00474FDF" w:rsidP="00474FDF">
      <w:pPr>
        <w:spacing w:after="0" w:line="240" w:lineRule="auto"/>
        <w:rPr>
          <w:rFonts w:eastAsia="Times New Roman" w:cs="Arial"/>
        </w:rPr>
      </w:pPr>
    </w:p>
    <w:p w:rsidR="00474FDF" w:rsidRPr="005F121C" w:rsidRDefault="00697C18" w:rsidP="00474FDF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90805</wp:posOffset>
            </wp:positionV>
            <wp:extent cx="3609975" cy="1379855"/>
            <wp:effectExtent l="1905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21C">
        <w:rPr>
          <w:rFonts w:eastAsia="Times New Roman" w:cs="Arial"/>
        </w:rPr>
        <w:t xml:space="preserve">2. </w:t>
      </w:r>
      <w:r w:rsidR="00474FDF" w:rsidRPr="00474FDF">
        <w:rPr>
          <w:rFonts w:eastAsia="Times New Roman" w:cs="Arial"/>
        </w:rPr>
        <w:t xml:space="preserve">Consider the two figures. </w:t>
      </w:r>
      <w:r w:rsidR="00474FDF" w:rsidRPr="005F121C">
        <w:rPr>
          <w:rFonts w:eastAsia="Times New Roman" w:cs="Arial"/>
        </w:rPr>
        <w:t xml:space="preserve">Each shows a </w:t>
      </w:r>
      <w:r w:rsidR="00474FDF" w:rsidRPr="00474FDF">
        <w:rPr>
          <w:rFonts w:eastAsia="Times New Roman" w:cs="Arial"/>
        </w:rPr>
        <w:t xml:space="preserve">distribution of data with a mean, </w:t>
      </w:r>
      <w:r w:rsidR="00474FDF" w:rsidRPr="00474FDF">
        <w:rPr>
          <w:rFonts w:eastAsia="Times New Roman" w:cs="Courier New"/>
        </w:rPr>
        <w:t>x</w:t>
      </w:r>
      <w:r w:rsidR="00474FDF" w:rsidRPr="00474FDF">
        <w:rPr>
          <w:rFonts w:eastAsia="Times New Roman" w:cs="Arial"/>
        </w:rPr>
        <w:t xml:space="preserve">, of 5. </w:t>
      </w:r>
      <w:r w:rsidR="00474FDF" w:rsidRPr="005F121C">
        <w:rPr>
          <w:rFonts w:eastAsia="Times New Roman" w:cs="Arial"/>
        </w:rPr>
        <w:t xml:space="preserve">Which has a </w:t>
      </w:r>
      <w:r w:rsidR="00474FDF" w:rsidRPr="00474FDF">
        <w:rPr>
          <w:rFonts w:eastAsia="Times New Roman" w:cs="Arial"/>
        </w:rPr>
        <w:t>bigger standard deviation and why?</w:t>
      </w:r>
    </w:p>
    <w:p w:rsidR="00474FDF" w:rsidRPr="00474FDF" w:rsidRDefault="00474FDF" w:rsidP="00474FDF">
      <w:pPr>
        <w:spacing w:after="0" w:line="240" w:lineRule="auto"/>
        <w:rPr>
          <w:rFonts w:eastAsia="Times New Roman" w:cs="Arial"/>
        </w:rPr>
      </w:pPr>
    </w:p>
    <w:p w:rsidR="00474FDF" w:rsidRPr="005F121C" w:rsidRDefault="00474FDF" w:rsidP="00474FDF">
      <w:pPr>
        <w:spacing w:after="0" w:line="240" w:lineRule="auto"/>
      </w:pPr>
    </w:p>
    <w:p w:rsidR="00474FDF" w:rsidRDefault="00474FDF"/>
    <w:p w:rsidR="00697C18" w:rsidRDefault="00697C18"/>
    <w:p w:rsidR="00697C18" w:rsidRPr="005F121C" w:rsidRDefault="00697C1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201930</wp:posOffset>
            </wp:positionV>
            <wp:extent cx="1581150" cy="668655"/>
            <wp:effectExtent l="1905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C18" w:rsidRDefault="000429B3">
      <w:pPr>
        <w:rPr>
          <w:rFonts w:cs="TimesNewRomanPSMT"/>
        </w:rPr>
      </w:pPr>
      <w:r w:rsidRPr="005F121C">
        <w:rPr>
          <w:rFonts w:cs="TimesNewRomanPSMT"/>
        </w:rPr>
        <w:t>The formula for the standard error is:</w:t>
      </w:r>
    </w:p>
    <w:p w:rsidR="00697C18" w:rsidRPr="005F121C" w:rsidRDefault="00697C18"/>
    <w:p w:rsidR="000429B3" w:rsidRDefault="005F121C" w:rsidP="000429B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3. </w:t>
      </w:r>
      <w:r w:rsidR="000429B3" w:rsidRPr="005F121C">
        <w:rPr>
          <w:rFonts w:cs="TimesNewRomanPSMT"/>
        </w:rPr>
        <w:t xml:space="preserve">You have three data sets with the same standard deviation, </w:t>
      </w:r>
      <w:r w:rsidR="000429B3" w:rsidRPr="005F121C">
        <w:rPr>
          <w:rFonts w:cs="TimesNewRomanPS-BoldItalicMT"/>
          <w:b/>
          <w:bCs/>
          <w:i/>
          <w:iCs/>
        </w:rPr>
        <w:t xml:space="preserve">S </w:t>
      </w:r>
      <w:r w:rsidR="000429B3" w:rsidRPr="005F121C">
        <w:rPr>
          <w:rFonts w:cs="TimesNewRomanPSMT"/>
        </w:rPr>
        <w:t xml:space="preserve">= 3.298. </w:t>
      </w:r>
      <w:r w:rsidR="000429B3" w:rsidRPr="005F121C">
        <w:rPr>
          <w:rFonts w:cs="TimesNewRomanPS-ItalicMT"/>
          <w:i/>
          <w:iCs/>
        </w:rPr>
        <w:t xml:space="preserve">Data Set 1 </w:t>
      </w:r>
      <w:r w:rsidR="000429B3" w:rsidRPr="005F121C">
        <w:rPr>
          <w:rFonts w:cs="TimesNewRomanPSMT"/>
        </w:rPr>
        <w:t>has ten observations in it (</w:t>
      </w:r>
      <w:r w:rsidR="000429B3" w:rsidRPr="005F121C">
        <w:rPr>
          <w:rFonts w:cs="TimesNewRomanPS-BoldItalicMT"/>
          <w:b/>
          <w:bCs/>
          <w:i/>
          <w:iCs/>
        </w:rPr>
        <w:t>n</w:t>
      </w:r>
      <w:r w:rsidR="000429B3" w:rsidRPr="005F121C">
        <w:rPr>
          <w:rFonts w:cs="TimesNewRomanPSMT"/>
        </w:rPr>
        <w:t xml:space="preserve">=10), </w:t>
      </w:r>
      <w:r w:rsidR="000429B3" w:rsidRPr="005F121C">
        <w:rPr>
          <w:rFonts w:cs="TimesNewRomanPS-ItalicMT"/>
          <w:i/>
          <w:iCs/>
        </w:rPr>
        <w:t xml:space="preserve">Data Set 2 </w:t>
      </w:r>
      <w:r w:rsidR="000429B3" w:rsidRPr="005F121C">
        <w:rPr>
          <w:rFonts w:cs="TimesNewRomanPSMT"/>
        </w:rPr>
        <w:t>has twenty (</w:t>
      </w:r>
      <w:r w:rsidR="000429B3" w:rsidRPr="005F121C">
        <w:rPr>
          <w:rFonts w:cs="TimesNewRomanPS-BoldItalicMT"/>
          <w:b/>
          <w:bCs/>
          <w:i/>
          <w:iCs/>
        </w:rPr>
        <w:t>n</w:t>
      </w:r>
      <w:r w:rsidR="000429B3" w:rsidRPr="005F121C">
        <w:rPr>
          <w:rFonts w:cs="TimesNewRomanPSMT"/>
        </w:rPr>
        <w:t xml:space="preserve">=20), and </w:t>
      </w:r>
      <w:r w:rsidR="000429B3" w:rsidRPr="005F121C">
        <w:rPr>
          <w:rFonts w:cs="TimesNewRomanPS-ItalicMT"/>
          <w:i/>
          <w:iCs/>
        </w:rPr>
        <w:t xml:space="preserve">Data Set 3 </w:t>
      </w:r>
      <w:r w:rsidR="000429B3" w:rsidRPr="005F121C">
        <w:rPr>
          <w:rFonts w:cs="TimesNewRomanPSMT"/>
        </w:rPr>
        <w:t>has fifty</w:t>
      </w:r>
      <w:r>
        <w:rPr>
          <w:rFonts w:cs="TimesNewRomanPSMT"/>
        </w:rPr>
        <w:t xml:space="preserve"> </w:t>
      </w:r>
      <w:r w:rsidR="000429B3" w:rsidRPr="005F121C">
        <w:rPr>
          <w:rFonts w:cs="TimesNewRomanPSMT"/>
        </w:rPr>
        <w:t>observations in it (</w:t>
      </w:r>
      <w:r w:rsidR="000429B3" w:rsidRPr="005F121C">
        <w:rPr>
          <w:rFonts w:cs="TimesNewRomanPS-BoldItalicMT"/>
          <w:b/>
          <w:bCs/>
          <w:i/>
          <w:iCs/>
        </w:rPr>
        <w:t>n</w:t>
      </w:r>
      <w:r w:rsidR="000429B3" w:rsidRPr="005F121C">
        <w:rPr>
          <w:rFonts w:cs="TimesNewRomanPSMT"/>
        </w:rPr>
        <w:t xml:space="preserve">=50). For each of these calculate the standard error. </w:t>
      </w:r>
      <w:r>
        <w:rPr>
          <w:rFonts w:cs="TimesNewRomanPSMT"/>
        </w:rPr>
        <w:br/>
      </w:r>
    </w:p>
    <w:p w:rsidR="00697C18" w:rsidRPr="005F121C" w:rsidRDefault="003D7A17" w:rsidP="003D7A1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ab/>
      </w:r>
    </w:p>
    <w:p w:rsidR="00697C18" w:rsidRPr="005F121C" w:rsidRDefault="000429B3" w:rsidP="00697C18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</w:rPr>
      </w:pPr>
      <w:r w:rsidRPr="005F121C">
        <w:rPr>
          <w:rFonts w:cs="TimesNewRomanPS-ItalicMT"/>
          <w:i/>
          <w:iCs/>
        </w:rPr>
        <w:t>Data Set 1</w:t>
      </w:r>
      <w:r w:rsidRPr="005F121C">
        <w:rPr>
          <w:rFonts w:cs="TimesNewRomanPSMT"/>
        </w:rPr>
        <w:t xml:space="preserve">: __________ </w:t>
      </w:r>
      <w:r w:rsidRPr="005F121C">
        <w:rPr>
          <w:rFonts w:cs="TimesNewRomanPS-ItalicMT"/>
          <w:i/>
          <w:iCs/>
        </w:rPr>
        <w:t>Data Set 2</w:t>
      </w:r>
      <w:r w:rsidRPr="005F121C">
        <w:rPr>
          <w:rFonts w:cs="TimesNewRomanPSMT"/>
        </w:rPr>
        <w:t xml:space="preserve">: ____________ </w:t>
      </w:r>
      <w:r w:rsidRPr="005F121C">
        <w:rPr>
          <w:rFonts w:cs="TimesNewRomanPS-ItalicMT"/>
          <w:i/>
          <w:iCs/>
        </w:rPr>
        <w:t>Data Set 3</w:t>
      </w:r>
      <w:r w:rsidRPr="005F121C">
        <w:rPr>
          <w:rFonts w:cs="TimesNewRomanPSMT"/>
        </w:rPr>
        <w:t>: ____________</w:t>
      </w:r>
    </w:p>
    <w:p w:rsidR="000429B3" w:rsidRPr="003D7A17" w:rsidRDefault="000429B3" w:rsidP="00697C18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</w:rPr>
      </w:pPr>
    </w:p>
    <w:p w:rsidR="000429B3" w:rsidRDefault="005F121C" w:rsidP="00697C1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4. </w:t>
      </w:r>
      <w:r w:rsidR="000429B3" w:rsidRPr="005F121C">
        <w:rPr>
          <w:rFonts w:cs="TimesNewRomanPSMT"/>
        </w:rPr>
        <w:t>Explain how the standard error changes when the sample size changes (but the</w:t>
      </w:r>
      <w:r>
        <w:rPr>
          <w:rFonts w:cs="TimesNewRomanPSMT"/>
        </w:rPr>
        <w:t xml:space="preserve"> </w:t>
      </w:r>
      <w:r w:rsidR="000429B3" w:rsidRPr="005F121C">
        <w:rPr>
          <w:rFonts w:cs="TimesNewRomanPSMT"/>
        </w:rPr>
        <w:t>standard deviation stays the same). Then, explain how the formula for the standard error justifies this change.</w:t>
      </w:r>
      <w:r>
        <w:rPr>
          <w:rFonts w:cs="TimesNewRomanPSMT"/>
        </w:rPr>
        <w:br/>
      </w:r>
    </w:p>
    <w:p w:rsidR="00697C18" w:rsidRDefault="00697C18" w:rsidP="000429B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97C18" w:rsidRDefault="00697C18" w:rsidP="000429B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429B3" w:rsidRPr="005F121C" w:rsidRDefault="005F121C" w:rsidP="000429B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5. Y</w:t>
      </w:r>
      <w:r w:rsidR="000429B3" w:rsidRPr="005F121C">
        <w:rPr>
          <w:rFonts w:cs="TimesNewRomanPSMT"/>
        </w:rPr>
        <w:t>ou and your lab partner record the following</w:t>
      </w:r>
      <w:r>
        <w:rPr>
          <w:rFonts w:cs="TimesNewRomanPSMT"/>
        </w:rPr>
        <w:t xml:space="preserve"> </w:t>
      </w:r>
      <w:r w:rsidR="000429B3" w:rsidRPr="005F121C">
        <w:rPr>
          <w:rFonts w:cs="TimesNewRomanPSMT"/>
        </w:rPr>
        <w:t>counts of stomata in sunflower leaves.</w:t>
      </w:r>
    </w:p>
    <w:p w:rsidR="000429B3" w:rsidRPr="003D7A17" w:rsidRDefault="000429B3" w:rsidP="000429B3">
      <w:pPr>
        <w:autoSpaceDE w:val="0"/>
        <w:autoSpaceDN w:val="0"/>
        <w:adjustRightInd w:val="0"/>
        <w:spacing w:after="0" w:line="240" w:lineRule="auto"/>
        <w:rPr>
          <w:rFonts w:cs="TimesNewRomanPSMT"/>
          <w:sz w:val="14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618"/>
        <w:gridCol w:w="900"/>
        <w:gridCol w:w="1170"/>
        <w:gridCol w:w="1350"/>
        <w:gridCol w:w="990"/>
        <w:gridCol w:w="1170"/>
        <w:gridCol w:w="1260"/>
      </w:tblGrid>
      <w:tr w:rsidR="000429B3" w:rsidRPr="005F121C" w:rsidTr="005F121C">
        <w:tc>
          <w:tcPr>
            <w:tcW w:w="3618" w:type="dxa"/>
          </w:tcPr>
          <w:p w:rsidR="000429B3" w:rsidRPr="005F121C" w:rsidRDefault="000429B3" w:rsidP="000429B3">
            <w:pPr>
              <w:autoSpaceDE w:val="0"/>
              <w:autoSpaceDN w:val="0"/>
              <w:adjustRightInd w:val="0"/>
            </w:pPr>
            <w:r w:rsidRPr="005F121C">
              <w:t>Sunflower Plant</w:t>
            </w:r>
          </w:p>
        </w:tc>
        <w:tc>
          <w:tcPr>
            <w:tcW w:w="900" w:type="dxa"/>
          </w:tcPr>
          <w:p w:rsidR="000429B3" w:rsidRPr="005F121C" w:rsidRDefault="000429B3" w:rsidP="000429B3">
            <w:pPr>
              <w:autoSpaceDE w:val="0"/>
              <w:autoSpaceDN w:val="0"/>
              <w:adjustRightInd w:val="0"/>
            </w:pPr>
            <w:r w:rsidRPr="005F121C">
              <w:t>1</w:t>
            </w:r>
          </w:p>
        </w:tc>
        <w:tc>
          <w:tcPr>
            <w:tcW w:w="1170" w:type="dxa"/>
          </w:tcPr>
          <w:p w:rsidR="000429B3" w:rsidRPr="005F121C" w:rsidRDefault="000429B3" w:rsidP="000429B3">
            <w:pPr>
              <w:autoSpaceDE w:val="0"/>
              <w:autoSpaceDN w:val="0"/>
              <w:adjustRightInd w:val="0"/>
            </w:pPr>
            <w:r w:rsidRPr="005F121C">
              <w:t>2</w:t>
            </w:r>
          </w:p>
        </w:tc>
        <w:tc>
          <w:tcPr>
            <w:tcW w:w="1350" w:type="dxa"/>
          </w:tcPr>
          <w:p w:rsidR="000429B3" w:rsidRPr="005F121C" w:rsidRDefault="000429B3" w:rsidP="000429B3">
            <w:pPr>
              <w:autoSpaceDE w:val="0"/>
              <w:autoSpaceDN w:val="0"/>
              <w:adjustRightInd w:val="0"/>
            </w:pPr>
            <w:r w:rsidRPr="005F121C">
              <w:t>3</w:t>
            </w:r>
          </w:p>
        </w:tc>
        <w:tc>
          <w:tcPr>
            <w:tcW w:w="990" w:type="dxa"/>
          </w:tcPr>
          <w:p w:rsidR="000429B3" w:rsidRPr="005F121C" w:rsidRDefault="000429B3" w:rsidP="000429B3">
            <w:pPr>
              <w:autoSpaceDE w:val="0"/>
              <w:autoSpaceDN w:val="0"/>
              <w:adjustRightInd w:val="0"/>
            </w:pPr>
            <w:r w:rsidRPr="005F121C">
              <w:t>4</w:t>
            </w:r>
          </w:p>
        </w:tc>
        <w:tc>
          <w:tcPr>
            <w:tcW w:w="1170" w:type="dxa"/>
          </w:tcPr>
          <w:p w:rsidR="000429B3" w:rsidRPr="005F121C" w:rsidRDefault="000429B3" w:rsidP="000429B3">
            <w:pPr>
              <w:autoSpaceDE w:val="0"/>
              <w:autoSpaceDN w:val="0"/>
              <w:adjustRightInd w:val="0"/>
            </w:pPr>
            <w:r w:rsidRPr="005F121C">
              <w:t>5</w:t>
            </w:r>
          </w:p>
        </w:tc>
        <w:tc>
          <w:tcPr>
            <w:tcW w:w="1260" w:type="dxa"/>
          </w:tcPr>
          <w:p w:rsidR="000429B3" w:rsidRPr="005F121C" w:rsidRDefault="000429B3" w:rsidP="000429B3">
            <w:pPr>
              <w:autoSpaceDE w:val="0"/>
              <w:autoSpaceDN w:val="0"/>
              <w:adjustRightInd w:val="0"/>
            </w:pPr>
            <w:r w:rsidRPr="005F121C">
              <w:t>6</w:t>
            </w:r>
          </w:p>
        </w:tc>
      </w:tr>
      <w:tr w:rsidR="000429B3" w:rsidRPr="005F121C" w:rsidTr="005F121C">
        <w:tc>
          <w:tcPr>
            <w:tcW w:w="3618" w:type="dxa"/>
          </w:tcPr>
          <w:p w:rsidR="000429B3" w:rsidRPr="005F121C" w:rsidRDefault="000429B3" w:rsidP="000429B3">
            <w:pPr>
              <w:autoSpaceDE w:val="0"/>
              <w:autoSpaceDN w:val="0"/>
              <w:adjustRightInd w:val="0"/>
            </w:pPr>
            <w:r w:rsidRPr="005F121C">
              <w:t>Stomata (per examination area)</w:t>
            </w:r>
          </w:p>
        </w:tc>
        <w:tc>
          <w:tcPr>
            <w:tcW w:w="900" w:type="dxa"/>
          </w:tcPr>
          <w:p w:rsidR="000429B3" w:rsidRPr="005F121C" w:rsidRDefault="000429B3" w:rsidP="000429B3">
            <w:pPr>
              <w:autoSpaceDE w:val="0"/>
              <w:autoSpaceDN w:val="0"/>
              <w:adjustRightInd w:val="0"/>
            </w:pPr>
            <w:r w:rsidRPr="005F121C">
              <w:t>88</w:t>
            </w:r>
          </w:p>
        </w:tc>
        <w:tc>
          <w:tcPr>
            <w:tcW w:w="1170" w:type="dxa"/>
          </w:tcPr>
          <w:p w:rsidR="000429B3" w:rsidRPr="005F121C" w:rsidRDefault="000429B3" w:rsidP="000429B3">
            <w:pPr>
              <w:autoSpaceDE w:val="0"/>
              <w:autoSpaceDN w:val="0"/>
              <w:adjustRightInd w:val="0"/>
            </w:pPr>
            <w:r w:rsidRPr="005F121C">
              <w:t>93</w:t>
            </w:r>
          </w:p>
        </w:tc>
        <w:tc>
          <w:tcPr>
            <w:tcW w:w="1350" w:type="dxa"/>
          </w:tcPr>
          <w:p w:rsidR="000429B3" w:rsidRPr="005F121C" w:rsidRDefault="000429B3" w:rsidP="000429B3">
            <w:pPr>
              <w:autoSpaceDE w:val="0"/>
              <w:autoSpaceDN w:val="0"/>
              <w:adjustRightInd w:val="0"/>
            </w:pPr>
            <w:r w:rsidRPr="005F121C">
              <w:t>90</w:t>
            </w:r>
          </w:p>
        </w:tc>
        <w:tc>
          <w:tcPr>
            <w:tcW w:w="990" w:type="dxa"/>
          </w:tcPr>
          <w:p w:rsidR="000429B3" w:rsidRPr="005F121C" w:rsidRDefault="000429B3" w:rsidP="000429B3">
            <w:pPr>
              <w:autoSpaceDE w:val="0"/>
              <w:autoSpaceDN w:val="0"/>
              <w:adjustRightInd w:val="0"/>
            </w:pPr>
            <w:r w:rsidRPr="005F121C">
              <w:t>92</w:t>
            </w:r>
          </w:p>
        </w:tc>
        <w:tc>
          <w:tcPr>
            <w:tcW w:w="1170" w:type="dxa"/>
          </w:tcPr>
          <w:p w:rsidR="000429B3" w:rsidRPr="005F121C" w:rsidRDefault="000429B3" w:rsidP="000429B3">
            <w:pPr>
              <w:autoSpaceDE w:val="0"/>
              <w:autoSpaceDN w:val="0"/>
              <w:adjustRightInd w:val="0"/>
            </w:pPr>
            <w:r w:rsidRPr="005F121C">
              <w:t>75</w:t>
            </w:r>
          </w:p>
        </w:tc>
        <w:tc>
          <w:tcPr>
            <w:tcW w:w="1260" w:type="dxa"/>
          </w:tcPr>
          <w:p w:rsidR="000429B3" w:rsidRPr="005F121C" w:rsidRDefault="000429B3" w:rsidP="000429B3">
            <w:pPr>
              <w:autoSpaceDE w:val="0"/>
              <w:autoSpaceDN w:val="0"/>
              <w:adjustRightInd w:val="0"/>
            </w:pPr>
            <w:r w:rsidRPr="005F121C">
              <w:t>78</w:t>
            </w:r>
          </w:p>
        </w:tc>
      </w:tr>
    </w:tbl>
    <w:p w:rsidR="000429B3" w:rsidRPr="003D7A17" w:rsidRDefault="000429B3" w:rsidP="000429B3">
      <w:pPr>
        <w:autoSpaceDE w:val="0"/>
        <w:autoSpaceDN w:val="0"/>
        <w:adjustRightInd w:val="0"/>
        <w:spacing w:after="0" w:line="240" w:lineRule="auto"/>
        <w:rPr>
          <w:sz w:val="14"/>
        </w:rPr>
      </w:pPr>
    </w:p>
    <w:p w:rsidR="005F121C" w:rsidRPr="005F121C" w:rsidRDefault="005F121C" w:rsidP="005F121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F121C">
        <w:rPr>
          <w:rFonts w:cs="TimesNewRomanPSMT"/>
        </w:rPr>
        <w:t>(</w:t>
      </w:r>
      <w:r>
        <w:rPr>
          <w:rFonts w:cs="TimesNewRomanPSMT"/>
        </w:rPr>
        <w:t>a</w:t>
      </w:r>
      <w:r w:rsidRPr="005F121C">
        <w:rPr>
          <w:rFonts w:cs="TimesNewRomanPSMT"/>
        </w:rPr>
        <w:t>) Calculate the standard deviation of the number of stomata for the sunflower leaves.</w:t>
      </w:r>
    </w:p>
    <w:p w:rsidR="005F121C" w:rsidRPr="005F121C" w:rsidRDefault="005F121C" w:rsidP="005F121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F121C" w:rsidRPr="005F121C" w:rsidRDefault="005F121C" w:rsidP="005F121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F121C" w:rsidRPr="005F121C" w:rsidRDefault="005F121C" w:rsidP="005F121C">
      <w:pPr>
        <w:rPr>
          <w:rFonts w:cs="TimesNewRomanPSMT"/>
        </w:rPr>
      </w:pPr>
      <w:r>
        <w:rPr>
          <w:rFonts w:cs="TimesNewRomanPSMT"/>
        </w:rPr>
        <w:t>(b</w:t>
      </w:r>
      <w:r w:rsidRPr="005F121C">
        <w:rPr>
          <w:rFonts w:cs="TimesNewRomanPSMT"/>
        </w:rPr>
        <w:t>) Calculate the standard error in the number of stomata for the sunflower leaves.</w:t>
      </w:r>
      <w:r w:rsidR="00697C18">
        <w:rPr>
          <w:rFonts w:cs="TimesNewRomanPSMT"/>
        </w:rPr>
        <w:br/>
      </w:r>
    </w:p>
    <w:p w:rsidR="005F121C" w:rsidRPr="005F121C" w:rsidRDefault="005F121C" w:rsidP="005F121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6. T</w:t>
      </w:r>
      <w:r w:rsidRPr="005F121C">
        <w:rPr>
          <w:rFonts w:cs="TimesNewRomanPSMT"/>
        </w:rPr>
        <w:t>hree classes study when fruit fly populations choose</w:t>
      </w:r>
      <w:r>
        <w:rPr>
          <w:rFonts w:cs="TimesNewRomanPSMT"/>
        </w:rPr>
        <w:t xml:space="preserve"> </w:t>
      </w:r>
      <w:r w:rsidRPr="005F121C">
        <w:rPr>
          <w:rFonts w:cs="TimesNewRomanPSMT"/>
        </w:rPr>
        <w:t>Food A over Food B. Each pair of partners in the classes record the number of times that Food A is chosen in preference to Food B in a total of 25 trials. The data from</w:t>
      </w:r>
      <w:r>
        <w:rPr>
          <w:rFonts w:cs="TimesNewRomanPSMT"/>
        </w:rPr>
        <w:t xml:space="preserve"> </w:t>
      </w:r>
      <w:r w:rsidRPr="005F121C">
        <w:rPr>
          <w:rFonts w:cs="TimesNewRomanPSMT"/>
        </w:rPr>
        <w:t>each pair for the three classes is shown below. Use the data to answer the questions below.</w:t>
      </w:r>
    </w:p>
    <w:p w:rsidR="005F121C" w:rsidRPr="003D7A17" w:rsidRDefault="005F121C" w:rsidP="005F121C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5F121C" w:rsidRPr="005F121C" w:rsidTr="005F121C"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Group 1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Group 2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Group 3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Group 4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Group 5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Group 6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Group 7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Group 8</w:t>
            </w:r>
          </w:p>
        </w:tc>
      </w:tr>
      <w:tr w:rsidR="005F121C" w:rsidRPr="005F121C" w:rsidTr="005F121C"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Class 1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12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16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11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11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13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14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12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15</w:t>
            </w:r>
          </w:p>
        </w:tc>
      </w:tr>
      <w:tr w:rsidR="005F121C" w:rsidRPr="005F121C" w:rsidTr="005F121C"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Class 2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10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9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18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8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16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18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13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12</w:t>
            </w:r>
          </w:p>
        </w:tc>
      </w:tr>
      <w:tr w:rsidR="005F121C" w:rsidRPr="005F121C" w:rsidTr="005F121C"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Class 3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4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19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6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20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12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13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23</w:t>
            </w:r>
          </w:p>
        </w:tc>
        <w:tc>
          <w:tcPr>
            <w:tcW w:w="1064" w:type="dxa"/>
          </w:tcPr>
          <w:p w:rsidR="005F121C" w:rsidRPr="005F121C" w:rsidRDefault="005F121C" w:rsidP="005F121C">
            <w:pPr>
              <w:autoSpaceDE w:val="0"/>
              <w:autoSpaceDN w:val="0"/>
              <w:adjustRightInd w:val="0"/>
            </w:pPr>
            <w:r w:rsidRPr="005F121C">
              <w:t>7</w:t>
            </w:r>
          </w:p>
        </w:tc>
      </w:tr>
    </w:tbl>
    <w:p w:rsidR="005F121C" w:rsidRPr="003D7A17" w:rsidRDefault="005F121C" w:rsidP="005F121C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5F121C" w:rsidRPr="005F121C" w:rsidRDefault="005F121C" w:rsidP="005F121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(a) </w:t>
      </w:r>
      <w:r w:rsidRPr="005F121C">
        <w:rPr>
          <w:rFonts w:cs="TimesNewRomanPSMT"/>
        </w:rPr>
        <w:t>Based on the data that is given, which do you expect to have a bigger standard</w:t>
      </w:r>
      <w:r>
        <w:rPr>
          <w:rFonts w:cs="TimesNewRomanPSMT"/>
        </w:rPr>
        <w:t xml:space="preserve"> </w:t>
      </w:r>
      <w:r w:rsidRPr="005F121C">
        <w:rPr>
          <w:rFonts w:cs="TimesNewRomanPSMT"/>
        </w:rPr>
        <w:t xml:space="preserve">deviation? Which do you expect to have the smallest standard deviation? </w:t>
      </w:r>
      <w:r w:rsidRPr="005F121C">
        <w:rPr>
          <w:rFonts w:cs="TimesNewRomanPS-ItalicMT"/>
          <w:b/>
          <w:i/>
          <w:iCs/>
        </w:rPr>
        <w:t>Explain</w:t>
      </w:r>
      <w:r w:rsidRPr="005F121C">
        <w:rPr>
          <w:rFonts w:cs="TimesNewRomanPS-ItalicMT"/>
          <w:i/>
          <w:iCs/>
        </w:rPr>
        <w:t xml:space="preserve"> </w:t>
      </w:r>
      <w:r w:rsidRPr="005F121C">
        <w:rPr>
          <w:rFonts w:cs="TimesNewRomanPSMT"/>
        </w:rPr>
        <w:t>your</w:t>
      </w:r>
      <w:r>
        <w:rPr>
          <w:rFonts w:cs="TimesNewRomanPSMT"/>
        </w:rPr>
        <w:t xml:space="preserve"> </w:t>
      </w:r>
      <w:r w:rsidRPr="005F121C">
        <w:rPr>
          <w:rFonts w:cs="TimesNewRomanPSMT"/>
        </w:rPr>
        <w:t>answer.</w:t>
      </w:r>
    </w:p>
    <w:p w:rsidR="005F121C" w:rsidRPr="005F121C" w:rsidRDefault="005F121C" w:rsidP="005F121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F121C" w:rsidRPr="005F121C" w:rsidRDefault="005F121C" w:rsidP="005F121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F121C" w:rsidRPr="005F121C" w:rsidRDefault="005F121C" w:rsidP="005F121C">
      <w:pPr>
        <w:autoSpaceDE w:val="0"/>
        <w:autoSpaceDN w:val="0"/>
        <w:adjustRightInd w:val="0"/>
        <w:spacing w:after="0" w:line="240" w:lineRule="auto"/>
      </w:pPr>
      <w:r w:rsidRPr="005F121C">
        <w:rPr>
          <w:rFonts w:cs="TimesNewRomanPS-BoldItalicMT"/>
          <w:bCs/>
          <w:iCs/>
        </w:rPr>
        <w:t>(b)</w:t>
      </w:r>
      <w:r w:rsidRPr="005F121C">
        <w:rPr>
          <w:rFonts w:cs="TimesNewRomanPS-BoldItalicMT"/>
          <w:b/>
          <w:bCs/>
          <w:i/>
          <w:iCs/>
        </w:rPr>
        <w:t xml:space="preserve"> </w:t>
      </w:r>
      <w:r w:rsidRPr="005F121C">
        <w:rPr>
          <w:rFonts w:cs="TimesNewRomanPSMT"/>
        </w:rPr>
        <w:t>Find the standard deviation for each data set. If your answers do not match your</w:t>
      </w:r>
      <w:r>
        <w:rPr>
          <w:rFonts w:cs="TimesNewRomanPSMT"/>
        </w:rPr>
        <w:t xml:space="preserve"> </w:t>
      </w:r>
      <w:r w:rsidRPr="005F121C">
        <w:rPr>
          <w:rFonts w:cs="TimesNewRomanPSMT"/>
        </w:rPr>
        <w:t>predictions, make sure to go back and explain how you can predict the ranking (i.e.</w:t>
      </w:r>
      <w:r>
        <w:rPr>
          <w:rFonts w:cs="TimesNewRomanPSMT"/>
        </w:rPr>
        <w:t xml:space="preserve"> </w:t>
      </w:r>
      <w:r w:rsidRPr="005F121C">
        <w:rPr>
          <w:rFonts w:cs="TimesNewRomanPSMT"/>
        </w:rPr>
        <w:t>smallest and largest) standard deviations from the data that are given.</w:t>
      </w:r>
    </w:p>
    <w:p w:rsidR="00697C18" w:rsidRDefault="00697C18"/>
    <w:p w:rsidR="00697C18" w:rsidRPr="005F121C" w:rsidRDefault="00697C18"/>
    <w:p w:rsidR="005F121C" w:rsidRPr="005F121C" w:rsidRDefault="005F121C" w:rsidP="005F121C">
      <w:pPr>
        <w:autoSpaceDE w:val="0"/>
        <w:autoSpaceDN w:val="0"/>
        <w:adjustRightInd w:val="0"/>
        <w:spacing w:after="0" w:line="240" w:lineRule="auto"/>
      </w:pPr>
      <w:r>
        <w:rPr>
          <w:rFonts w:cs="TimesNewRomanPSMT"/>
        </w:rPr>
        <w:t xml:space="preserve">7. </w:t>
      </w:r>
      <w:r w:rsidRPr="005F121C">
        <w:rPr>
          <w:rFonts w:cs="TimesNewRomanPSMT"/>
        </w:rPr>
        <w:t>Two different AP Biology instructors compute the means and standard errors for the first</w:t>
      </w:r>
      <w:r>
        <w:rPr>
          <w:rFonts w:cs="TimesNewRomanPSMT"/>
        </w:rPr>
        <w:t xml:space="preserve"> </w:t>
      </w:r>
      <w:r w:rsidRPr="005F121C">
        <w:rPr>
          <w:rFonts w:cs="TimesNewRomanPSMT"/>
        </w:rPr>
        <w:t>exam score for their classes. The means and the SE bars are shown in</w:t>
      </w:r>
      <w:r>
        <w:rPr>
          <w:rFonts w:cs="TimesNewRomanPSMT"/>
        </w:rPr>
        <w:t xml:space="preserve"> </w:t>
      </w:r>
      <w:r w:rsidRPr="005F121C">
        <w:rPr>
          <w:rFonts w:cs="TimesNewRomanPSMT"/>
        </w:rPr>
        <w:t>the graphs below. For each of the teacher’s sets determine whether the difference between the</w:t>
      </w:r>
      <w:r>
        <w:rPr>
          <w:rFonts w:cs="TimesNewRomanPSMT"/>
        </w:rPr>
        <w:t xml:space="preserve"> </w:t>
      </w:r>
      <w:r w:rsidRPr="005F121C">
        <w:rPr>
          <w:rFonts w:cs="TimesNewRomanPSMT"/>
        </w:rPr>
        <w:t>means of the two classes is (a) definitely significantly different, (b) not significantly</w:t>
      </w:r>
      <w:r>
        <w:rPr>
          <w:rFonts w:cs="TimesNewRomanPSMT"/>
        </w:rPr>
        <w:t xml:space="preserve"> </w:t>
      </w:r>
      <w:r w:rsidRPr="005F121C">
        <w:rPr>
          <w:rFonts w:cs="TimesNewRomanPSMT"/>
        </w:rPr>
        <w:t xml:space="preserve">different, or (c) unknown based on the graph. </w:t>
      </w:r>
      <w:r w:rsidR="00697C18" w:rsidRPr="003D7A17">
        <w:rPr>
          <w:rFonts w:cs="TimesNewRomanPSMT"/>
          <w:b/>
        </w:rPr>
        <w:t>Justify</w:t>
      </w:r>
      <w:r w:rsidR="00697C18">
        <w:rPr>
          <w:rFonts w:cs="TimesNewRomanPSMT"/>
        </w:rPr>
        <w:t xml:space="preserve"> </w:t>
      </w:r>
      <w:r w:rsidRPr="005F121C">
        <w:rPr>
          <w:rFonts w:cs="TimesNewRomanPSMT"/>
        </w:rPr>
        <w:t>your answer.</w:t>
      </w:r>
    </w:p>
    <w:p w:rsidR="00E52077" w:rsidRPr="005F121C" w:rsidRDefault="005F121C">
      <w:r w:rsidRPr="005F121C">
        <w:rPr>
          <w:noProof/>
        </w:rPr>
        <w:drawing>
          <wp:inline distT="0" distB="0" distL="0" distR="0">
            <wp:extent cx="4457700" cy="2161822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56" cy="216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1C" w:rsidRPr="005F121C" w:rsidRDefault="00697C18" w:rsidP="00697C18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339090</wp:posOffset>
            </wp:positionV>
            <wp:extent cx="1881505" cy="2638425"/>
            <wp:effectExtent l="1905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21C" w:rsidRPr="005F121C">
        <w:t xml:space="preserve">Calculate the mean and </w:t>
      </w:r>
      <w:r w:rsidR="003D7A17">
        <w:t>SD</w:t>
      </w:r>
      <w:r w:rsidR="005F121C" w:rsidRPr="005F121C">
        <w:t xml:space="preserve"> for the data set of annual mon</w:t>
      </w:r>
      <w:r>
        <w:t>thly rainfall. Use the data to make</w:t>
      </w:r>
      <w:r w:rsidR="005F121C" w:rsidRPr="005F121C">
        <w:t xml:space="preserve"> </w:t>
      </w:r>
      <w:r>
        <w:t>a</w:t>
      </w:r>
      <w:r w:rsidR="005F121C" w:rsidRPr="005F121C">
        <w:t xml:space="preserve"> graph.</w:t>
      </w:r>
    </w:p>
    <w:p w:rsidR="00E52077" w:rsidRPr="005F121C" w:rsidRDefault="00E52077" w:rsidP="00697C18">
      <w:pPr>
        <w:spacing w:line="240" w:lineRule="auto"/>
      </w:pPr>
      <w:r w:rsidRPr="005F121C">
        <w:t xml:space="preserve">Mean = </w:t>
      </w:r>
    </w:p>
    <w:p w:rsidR="00E52077" w:rsidRPr="005F121C" w:rsidRDefault="003D7A17" w:rsidP="003D7A17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448945</wp:posOffset>
            </wp:positionV>
            <wp:extent cx="3333750" cy="3152775"/>
            <wp:effectExtent l="19050" t="0" r="0" b="0"/>
            <wp:wrapSquare wrapText="bothSides"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077" w:rsidRPr="005F121C">
        <w:t xml:space="preserve">Standard deviation = </w:t>
      </w:r>
    </w:p>
    <w:p w:rsidR="00A937A4" w:rsidRDefault="00A937A4"/>
    <w:sectPr w:rsidR="00A937A4" w:rsidSect="00697C18"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A4"/>
    <w:rsid w:val="000429B3"/>
    <w:rsid w:val="00206221"/>
    <w:rsid w:val="002B654F"/>
    <w:rsid w:val="003D7A17"/>
    <w:rsid w:val="00474FDF"/>
    <w:rsid w:val="005F121C"/>
    <w:rsid w:val="00697C18"/>
    <w:rsid w:val="00845952"/>
    <w:rsid w:val="00A937A4"/>
    <w:rsid w:val="00E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B9103-21EA-4D54-B7F1-8F4ABEA6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and Kendrick</dc:creator>
  <cp:lastModifiedBy>Novak, Kendrick</cp:lastModifiedBy>
  <cp:revision>2</cp:revision>
  <dcterms:created xsi:type="dcterms:W3CDTF">2017-09-11T11:35:00Z</dcterms:created>
  <dcterms:modified xsi:type="dcterms:W3CDTF">2017-09-11T11:35:00Z</dcterms:modified>
</cp:coreProperties>
</file>